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3E6" w:rsidRPr="00FA616B" w:rsidRDefault="003363E6" w:rsidP="003363E6">
      <w:pPr>
        <w:rPr>
          <w:lang w:val="en-IE"/>
        </w:rPr>
      </w:pPr>
      <w:r w:rsidRPr="00FA616B">
        <w:rPr>
          <w:lang w:val="en-IE"/>
        </w:rPr>
        <w:t>Supplementary Figure 1</w:t>
      </w:r>
    </w:p>
    <w:p w:rsidR="003363E6" w:rsidRPr="00FA616B" w:rsidRDefault="003363E6" w:rsidP="003363E6">
      <w:pPr>
        <w:rPr>
          <w:b/>
          <w:lang w:val="en-IE"/>
        </w:rPr>
      </w:pPr>
      <w:r w:rsidRPr="00FA616B">
        <w:rPr>
          <w:b/>
          <w:lang w:val="en-IE"/>
        </w:rPr>
        <w:t>The viability of pancreatic cancer cells is decreased 24 hours following ECT treatment.</w:t>
      </w:r>
    </w:p>
    <w:p w:rsidR="003363E6" w:rsidRDefault="003363E6" w:rsidP="003363E6">
      <w:pPr>
        <w:rPr>
          <w:lang w:val="en-IE"/>
        </w:rPr>
      </w:pPr>
      <w:r w:rsidRPr="00FA616B">
        <w:rPr>
          <w:lang w:val="en-IE"/>
        </w:rPr>
        <w:t>PANC-1</w:t>
      </w:r>
      <w:r w:rsidRPr="00FA616B">
        <w:rPr>
          <w:b/>
          <w:lang w:val="en-IE"/>
        </w:rPr>
        <w:t xml:space="preserve"> (A) </w:t>
      </w:r>
      <w:r w:rsidRPr="00FA616B">
        <w:rPr>
          <w:lang w:val="en-IE"/>
        </w:rPr>
        <w:t>and Pan02</w:t>
      </w:r>
      <w:r w:rsidRPr="00FA616B">
        <w:rPr>
          <w:b/>
          <w:lang w:val="en-IE"/>
        </w:rPr>
        <w:t xml:space="preserve"> (B) </w:t>
      </w:r>
      <w:r w:rsidRPr="00FA616B">
        <w:rPr>
          <w:lang w:val="en-IE"/>
        </w:rPr>
        <w:t xml:space="preserve">cells were treated with chemotherapy alone or in combination with electroporation (+EP).  </w:t>
      </w:r>
      <w:r>
        <w:rPr>
          <w:lang w:val="en-IE"/>
        </w:rPr>
        <w:t xml:space="preserve">PANC-1 cells were either treated with </w:t>
      </w:r>
      <w:r w:rsidRPr="00FA616B">
        <w:rPr>
          <w:lang w:val="en-IE"/>
        </w:rPr>
        <w:t>0.1μg/ml</w:t>
      </w:r>
      <w:r>
        <w:rPr>
          <w:lang w:val="en-IE"/>
        </w:rPr>
        <w:t xml:space="preserve"> Bleomycin or Cisplatin and 3</w:t>
      </w:r>
      <w:r w:rsidRPr="00FA616B">
        <w:rPr>
          <w:lang w:val="en-IE"/>
        </w:rPr>
        <w:t>μg/ml</w:t>
      </w:r>
      <w:r>
        <w:rPr>
          <w:lang w:val="en-IE"/>
        </w:rPr>
        <w:t xml:space="preserve"> Oxaliplatin.  Pan02 cells were either treated with Bleomycin at </w:t>
      </w:r>
      <w:r w:rsidRPr="00FA616B">
        <w:rPr>
          <w:lang w:val="en-IE"/>
        </w:rPr>
        <w:t>0.1μg/ml</w:t>
      </w:r>
      <w:r>
        <w:rPr>
          <w:lang w:val="en-IE"/>
        </w:rPr>
        <w:t>; Cisplatin at 0.5</w:t>
      </w:r>
      <w:r w:rsidRPr="00FA616B">
        <w:rPr>
          <w:lang w:val="en-IE"/>
        </w:rPr>
        <w:t>μg/ml</w:t>
      </w:r>
      <w:r>
        <w:rPr>
          <w:lang w:val="en-IE"/>
        </w:rPr>
        <w:t xml:space="preserve"> and Oxaliplatin at </w:t>
      </w:r>
      <w:r w:rsidRPr="00FA616B">
        <w:rPr>
          <w:lang w:val="en-IE"/>
        </w:rPr>
        <w:t>1μg/ml</w:t>
      </w:r>
      <w:r>
        <w:rPr>
          <w:lang w:val="en-IE"/>
        </w:rPr>
        <w:t xml:space="preserve">.  </w:t>
      </w:r>
      <w:r w:rsidRPr="00FA616B">
        <w:rPr>
          <w:lang w:val="en-IE"/>
        </w:rPr>
        <w:t>After 24 hours, viability was assessed by PI uptake using flow cytometry.  Data from three independent experiments are presented as bar graphs.  *statistically significant differences in viability, *</w:t>
      </w:r>
      <w:r w:rsidRPr="00FA616B">
        <w:rPr>
          <w:i/>
          <w:lang w:val="en-IE"/>
        </w:rPr>
        <w:t xml:space="preserve">p </w:t>
      </w:r>
      <w:r w:rsidRPr="00FA616B">
        <w:rPr>
          <w:lang w:val="en-IE"/>
        </w:rPr>
        <w:t>≤ 0.05, **</w:t>
      </w:r>
      <w:r w:rsidRPr="00FA616B">
        <w:rPr>
          <w:i/>
          <w:lang w:val="en-IE"/>
        </w:rPr>
        <w:t>p</w:t>
      </w:r>
      <w:r w:rsidRPr="00FA616B">
        <w:rPr>
          <w:lang w:val="en-IE"/>
        </w:rPr>
        <w:t xml:space="preserve"> ≤</w:t>
      </w:r>
      <w:r>
        <w:rPr>
          <w:lang w:val="en-IE"/>
        </w:rPr>
        <w:t>0.01.</w:t>
      </w:r>
    </w:p>
    <w:p w:rsidR="003363E6" w:rsidRPr="00FA616B" w:rsidRDefault="003363E6" w:rsidP="003363E6">
      <w:pPr>
        <w:rPr>
          <w:lang w:val="en-IE"/>
        </w:rPr>
      </w:pPr>
      <w:bookmarkStart w:id="0" w:name="_GoBack"/>
      <w:bookmarkEnd w:id="0"/>
    </w:p>
    <w:p w:rsidR="003363E6" w:rsidRPr="00FA616B" w:rsidRDefault="003363E6" w:rsidP="003363E6">
      <w:pPr>
        <w:rPr>
          <w:lang w:val="en-IE"/>
        </w:rPr>
      </w:pPr>
      <w:r w:rsidRPr="00FA616B">
        <w:rPr>
          <w:lang w:val="en-IE"/>
        </w:rPr>
        <w:t>Supplementary Figure 2</w:t>
      </w:r>
    </w:p>
    <w:p w:rsidR="003363E6" w:rsidRPr="00FA616B" w:rsidRDefault="003363E6" w:rsidP="003363E6">
      <w:pPr>
        <w:rPr>
          <w:b/>
          <w:bCs/>
          <w:lang w:val="en-IE"/>
        </w:rPr>
      </w:pPr>
      <w:r w:rsidRPr="00FA616B">
        <w:rPr>
          <w:b/>
          <w:bCs/>
          <w:lang w:val="en-IE"/>
        </w:rPr>
        <w:t>Analysis of PS exposure versus cell permeability using Annexin V and PI staining by flow cytometry.</w:t>
      </w:r>
    </w:p>
    <w:p w:rsidR="003363E6" w:rsidRPr="00FA616B" w:rsidRDefault="003363E6" w:rsidP="003363E6">
      <w:pPr>
        <w:rPr>
          <w:bCs/>
          <w:color w:val="FF0000"/>
          <w:lang w:val="en-IE"/>
        </w:rPr>
      </w:pPr>
      <w:r w:rsidRPr="00FA616B">
        <w:rPr>
          <w:bCs/>
          <w:lang w:val="en-IE"/>
        </w:rPr>
        <w:t>Analysis of Annexin V/PI stained cells by flow cytometry allows for quantitation of cells that are Annexin V negative, PI negative (live cells); Annexin V positive, PI negative (early apoptotic); Annexin V positive and PI positive (late apoptotic and necrotic).  During apoptosis (</w:t>
      </w:r>
      <w:r w:rsidRPr="00FA616B">
        <w:rPr>
          <w:b/>
          <w:bCs/>
          <w:lang w:val="en-IE"/>
        </w:rPr>
        <w:t>A</w:t>
      </w:r>
      <w:r w:rsidRPr="00FA616B">
        <w:rPr>
          <w:bCs/>
          <w:lang w:val="en-IE"/>
        </w:rPr>
        <w:t>), there is a time lag that occurs between cells becoming positive for PS exposure and the loss of membrane integrity.  This means that the rapid membrane changes that leading to PS exposure lead to the majority of the cells moving from the lower left quadrant (PI negative, Annexin V negative) to the lower right quadrant (PI negative, Annexin V positive).  After some time, the membrane integrity becomes compromised and cells become positive for PI and the cell population then shifts to the upper right quadrant (PI positive, Annexin V positiv</w:t>
      </w:r>
      <w:r>
        <w:rPr>
          <w:bCs/>
          <w:lang w:val="en-IE"/>
        </w:rPr>
        <w:t>e).  By contras</w:t>
      </w:r>
      <w:r w:rsidRPr="00FA616B">
        <w:rPr>
          <w:bCs/>
          <w:lang w:val="en-IE"/>
        </w:rPr>
        <w:t>t, during necrosis (or necroptosis) (</w:t>
      </w:r>
      <w:r w:rsidRPr="00FA616B">
        <w:rPr>
          <w:b/>
          <w:bCs/>
          <w:lang w:val="en-IE"/>
        </w:rPr>
        <w:t>B</w:t>
      </w:r>
      <w:r w:rsidRPr="00FA616B">
        <w:rPr>
          <w:bCs/>
          <w:lang w:val="en-IE"/>
        </w:rPr>
        <w:t xml:space="preserve">), the exposure of PS coincides with outer membrane permeabilization.  Thus cells move directly from the lower left quadrant (PI negative, Annexin V negative) to the upper right quadrant (PI positive, Annexin V positive) without passing through an intermediate (PI negative, Annexin V positive) stage. A cartoon representation of the cell population and </w:t>
      </w:r>
      <w:proofErr w:type="gramStart"/>
      <w:r w:rsidRPr="00FA616B">
        <w:rPr>
          <w:bCs/>
          <w:lang w:val="en-IE"/>
        </w:rPr>
        <w:t>it’s</w:t>
      </w:r>
      <w:proofErr w:type="gramEnd"/>
      <w:r w:rsidRPr="00FA616B">
        <w:rPr>
          <w:bCs/>
          <w:lang w:val="en-IE"/>
        </w:rPr>
        <w:t xml:space="preserve"> movement over time is shown above. Figure adapted from </w:t>
      </w:r>
      <w:r w:rsidRPr="00FA616B">
        <w:rPr>
          <w:bCs/>
          <w:lang w:val="en-IE"/>
        </w:rPr>
        <w:fldChar w:fldCharType="begin"/>
      </w:r>
      <w:r w:rsidRPr="00FA616B">
        <w:rPr>
          <w:bCs/>
          <w:lang w:val="en-IE"/>
        </w:rPr>
        <w:instrText xml:space="preserve"> ADDIN EN.CITE &lt;EndNote&gt;&lt;Cite&gt;&lt;Author&gt;Krysko&lt;/Author&gt;&lt;Year&gt;2008&lt;/Year&gt;&lt;RecNum&gt;15&lt;/RecNum&gt;&lt;DisplayText&gt;[1]&lt;/DisplayText&gt;&lt;record&gt;&lt;rec-number&gt;15&lt;/rec-number&gt;&lt;foreign-keys&gt;&lt;key app="EN" db-id="ft2t9902pa5srze0pzsx5vdnrzzptrx9srre" timestamp="1537277849"&gt;15&lt;/key&gt;&lt;/foreign-keys&gt;&lt;ref-type name="Journal Article"&gt;17&lt;/ref-type&gt;&lt;contributors&gt;&lt;authors&gt;&lt;author&gt;Krysko, Dmitri V.&lt;/author&gt;&lt;author&gt;Vanden Berghe, Tom&lt;/author&gt;&lt;author&gt;D&amp;apos;Herde, Katharina&lt;/author&gt;&lt;author&gt;Vandenabeele, Peter&lt;/author&gt;&lt;/authors&gt;&lt;/contributors&gt;&lt;auth-address&gt;Molecular Signaling and Cell Death Unit, Department for Molecular Biomedical Research, VIB, 9052 Ghent, Belgium.&lt;/auth-address&gt;&lt;titles&gt;&lt;title&gt;Apoptosis and necrosis: detection, discrimination and phagocytosis&lt;/title&gt;&lt;secondary-title&gt;Methods (San Diego, Calif )&lt;/secondary-title&gt;&lt;alt-title&gt;Methods&lt;/alt-title&gt;&lt;/titles&gt;&lt;periodical&gt;&lt;full-title&gt;Methods (San Diego, Calif )&lt;/full-title&gt;&lt;abbr-1&gt;Methods&lt;/abbr-1&gt;&lt;/periodical&gt;&lt;alt-periodical&gt;&lt;full-title&gt;Methods (San Diego, Calif )&lt;/full-title&gt;&lt;abbr-1&gt;Methods&lt;/abbr-1&gt;&lt;/alt-periodical&gt;&lt;pages&gt;205-21&lt;/pages&gt;&lt;volume&gt;44&lt;/volume&gt;&lt;number&gt;3&lt;/number&gt;&lt;keywords&gt;&lt;keyword&gt;Animals&lt;/keyword&gt;&lt;keyword&gt;Apoptosis&lt;/keyword&gt;&lt;keyword&gt;Biomarkers&lt;/keyword&gt;&lt;keyword&gt;Caspases&lt;/keyword&gt;&lt;keyword&gt;Cell Communication&lt;/keyword&gt;&lt;keyword&gt;Cytochromes c&lt;/keyword&gt;&lt;keyword&gt;DNA Fragmentation&lt;/keyword&gt;&lt;keyword&gt;Flow Cytometry&lt;/keyword&gt;&lt;keyword&gt;Humans&lt;/keyword&gt;&lt;keyword&gt;Microscopy, Electron, Scanning&lt;/keyword&gt;&lt;keyword&gt;Necrosis&lt;/keyword&gt;&lt;keyword&gt;Phagocytosis&lt;/keyword&gt;&lt;keyword&gt;Phosphatidylserines&lt;/keyword&gt;&lt;keyword&gt;metabolism&lt;/keyword&gt;&lt;keyword&gt;secretion&lt;/keyword&gt;&lt;keyword&gt;analysis&lt;/keyword&gt;&lt;/keywords&gt;&lt;dates&gt;&lt;year&gt;2008&lt;/year&gt;&lt;/dates&gt;&lt;isbn&gt;1046-2023&lt;/isbn&gt;&lt;accession-num&gt;Medline:18314051&lt;/accession-num&gt;&lt;urls&gt;&lt;related-urls&gt;&lt;url&gt;&amp;lt;Go to ISI&amp;gt;://MEDLINE:18314051&lt;/url&gt;&lt;/related-urls&gt;&lt;/urls&gt;&lt;language&gt;English&lt;/language&gt;&lt;/record&gt;&lt;/Cite&gt;&lt;/EndNote&gt;</w:instrText>
      </w:r>
      <w:r w:rsidRPr="00FA616B">
        <w:rPr>
          <w:bCs/>
          <w:lang w:val="en-IE"/>
        </w:rPr>
        <w:fldChar w:fldCharType="separate"/>
      </w:r>
      <w:r w:rsidRPr="00FA616B">
        <w:rPr>
          <w:bCs/>
          <w:noProof/>
          <w:lang w:val="en-IE"/>
        </w:rPr>
        <w:t>[1]</w:t>
      </w:r>
      <w:r w:rsidRPr="00FA616B">
        <w:rPr>
          <w:bCs/>
          <w:lang w:val="en-IE"/>
        </w:rPr>
        <w:fldChar w:fldCharType="end"/>
      </w:r>
    </w:p>
    <w:p w:rsidR="003363E6" w:rsidRDefault="003363E6" w:rsidP="003363E6">
      <w:pPr>
        <w:rPr>
          <w:lang w:val="en-IE"/>
        </w:rPr>
      </w:pPr>
    </w:p>
    <w:p w:rsidR="003363E6" w:rsidRPr="00FA616B" w:rsidRDefault="003363E6" w:rsidP="003363E6">
      <w:pPr>
        <w:rPr>
          <w:lang w:val="en-IE"/>
        </w:rPr>
      </w:pPr>
      <w:r w:rsidRPr="00FA616B">
        <w:rPr>
          <w:lang w:val="en-IE"/>
        </w:rPr>
        <w:t>Supplementary Figure 3</w:t>
      </w:r>
    </w:p>
    <w:p w:rsidR="003363E6" w:rsidRPr="00FA616B" w:rsidRDefault="003363E6" w:rsidP="003363E6">
      <w:pPr>
        <w:rPr>
          <w:b/>
          <w:bCs/>
          <w:lang w:val="en-IE"/>
        </w:rPr>
      </w:pPr>
      <w:r w:rsidRPr="00FA616B">
        <w:rPr>
          <w:b/>
          <w:bCs/>
          <w:lang w:val="en-IE"/>
        </w:rPr>
        <w:t>PANC-1 cells undergoing cell death following MTX treatment move to an Annexin V positive stage whilst cells following Bleomycin ECT move directly to a double positive (Annexin V+/PI+) state.</w:t>
      </w:r>
    </w:p>
    <w:p w:rsidR="003363E6" w:rsidRPr="00FA616B" w:rsidRDefault="003363E6" w:rsidP="003363E6">
      <w:pPr>
        <w:rPr>
          <w:lang w:val="en-IE"/>
        </w:rPr>
      </w:pPr>
      <w:r w:rsidRPr="00FA616B">
        <w:rPr>
          <w:lang w:val="en-IE"/>
        </w:rPr>
        <w:t xml:space="preserve">PANC-1 cells were either </w:t>
      </w:r>
      <w:r w:rsidRPr="00FA616B">
        <w:rPr>
          <w:b/>
          <w:lang w:val="en-IE"/>
        </w:rPr>
        <w:t>(A)</w:t>
      </w:r>
      <w:r w:rsidRPr="00FA616B">
        <w:rPr>
          <w:lang w:val="en-IE"/>
        </w:rPr>
        <w:t xml:space="preserve"> untreated or treated with 1μM Mitoxantrone (MTX) as a control for apoptosis induction or </w:t>
      </w:r>
      <w:r w:rsidRPr="00FA616B">
        <w:rPr>
          <w:b/>
          <w:lang w:val="en-IE"/>
        </w:rPr>
        <w:t>(B)</w:t>
      </w:r>
      <w:r w:rsidRPr="00FA616B">
        <w:rPr>
          <w:lang w:val="en-IE"/>
        </w:rPr>
        <w:t xml:space="preserve"> electroporated in the presence or absence of 0.1μg/ml Bleomycin.  Samples of cells were taken after 4, 6 and 18 hours respectively, and were stained using Annexin V and PI followed by detection using flow cytometry.  The percentage of Annexin V positive, PI negative cells is indicated in the lower right quadrant for MTX treated cells in red (</w:t>
      </w:r>
      <w:r w:rsidRPr="00FA616B">
        <w:rPr>
          <w:b/>
          <w:lang w:val="en-IE"/>
        </w:rPr>
        <w:t>A</w:t>
      </w:r>
      <w:r w:rsidRPr="00FA616B">
        <w:rPr>
          <w:lang w:val="en-IE"/>
        </w:rPr>
        <w:t>) whilst the Annexin V positive, PI positive (double positive) Bleomycin or Bleomycin ECT percentage of cells is indicated beside the gated cells in red (</w:t>
      </w:r>
      <w:r w:rsidRPr="00FA616B">
        <w:rPr>
          <w:b/>
          <w:lang w:val="en-IE"/>
        </w:rPr>
        <w:t>B</w:t>
      </w:r>
      <w:r w:rsidRPr="00FA616B">
        <w:rPr>
          <w:lang w:val="en-IE"/>
        </w:rPr>
        <w:t>).</w:t>
      </w:r>
    </w:p>
    <w:p w:rsidR="003363E6" w:rsidRPr="00FA616B" w:rsidRDefault="003363E6" w:rsidP="003363E6">
      <w:pPr>
        <w:rPr>
          <w:lang w:val="en-IE"/>
        </w:rPr>
      </w:pPr>
    </w:p>
    <w:p w:rsidR="003363E6" w:rsidRPr="00FA616B" w:rsidRDefault="003363E6" w:rsidP="003363E6">
      <w:pPr>
        <w:rPr>
          <w:lang w:val="en-IE"/>
        </w:rPr>
      </w:pPr>
      <w:r w:rsidRPr="00FA616B">
        <w:rPr>
          <w:lang w:val="en-IE"/>
        </w:rPr>
        <w:t xml:space="preserve">Supplementary Figure </w:t>
      </w:r>
      <w:r>
        <w:rPr>
          <w:lang w:val="en-IE"/>
        </w:rPr>
        <w:t>4</w:t>
      </w:r>
    </w:p>
    <w:p w:rsidR="003363E6" w:rsidRPr="00FA616B" w:rsidRDefault="003363E6" w:rsidP="003363E6">
      <w:pPr>
        <w:rPr>
          <w:b/>
          <w:bCs/>
          <w:lang w:val="en-IE"/>
        </w:rPr>
      </w:pPr>
      <w:r w:rsidRPr="00FA616B">
        <w:rPr>
          <w:b/>
          <w:bCs/>
          <w:lang w:val="en-IE"/>
        </w:rPr>
        <w:t>Necrostatin-1 is sufficient to rescue the morphology of PANC-1 cells from ECT-mediated alterations.</w:t>
      </w:r>
    </w:p>
    <w:p w:rsidR="003363E6" w:rsidRDefault="003363E6" w:rsidP="003363E6">
      <w:pPr>
        <w:rPr>
          <w:lang w:val="en-IE"/>
        </w:rPr>
      </w:pPr>
      <w:r w:rsidRPr="00FA616B">
        <w:rPr>
          <w:lang w:val="en-IE"/>
        </w:rPr>
        <w:t xml:space="preserve">Morphologies of PANC-1 cells </w:t>
      </w:r>
      <w:r w:rsidRPr="009928F7">
        <w:rPr>
          <w:b/>
          <w:lang w:val="en-IE"/>
        </w:rPr>
        <w:t>(A)</w:t>
      </w:r>
      <w:r>
        <w:rPr>
          <w:lang w:val="en-IE"/>
        </w:rPr>
        <w:t xml:space="preserve"> or Pan02 cells </w:t>
      </w:r>
      <w:r w:rsidRPr="009928F7">
        <w:rPr>
          <w:b/>
          <w:lang w:val="en-IE"/>
        </w:rPr>
        <w:t>(B)</w:t>
      </w:r>
      <w:r>
        <w:rPr>
          <w:lang w:val="en-IE"/>
        </w:rPr>
        <w:t xml:space="preserve"> </w:t>
      </w:r>
      <w:r w:rsidRPr="00FA616B">
        <w:rPr>
          <w:lang w:val="en-IE"/>
        </w:rPr>
        <w:t xml:space="preserve">24 hours following treatment in either </w:t>
      </w:r>
      <w:r w:rsidRPr="00FA616B">
        <w:rPr>
          <w:b/>
          <w:lang w:val="en-IE"/>
        </w:rPr>
        <w:t>(</w:t>
      </w:r>
      <w:proofErr w:type="spellStart"/>
      <w:r>
        <w:rPr>
          <w:b/>
          <w:lang w:val="en-IE"/>
        </w:rPr>
        <w:t>i</w:t>
      </w:r>
      <w:proofErr w:type="spellEnd"/>
      <w:r w:rsidRPr="00FA616B">
        <w:rPr>
          <w:b/>
          <w:lang w:val="en-IE"/>
        </w:rPr>
        <w:t>)</w:t>
      </w:r>
      <w:r w:rsidRPr="00FA616B">
        <w:rPr>
          <w:lang w:val="en-IE"/>
        </w:rPr>
        <w:t xml:space="preserve"> in EP buffer alone, or electroporated; </w:t>
      </w:r>
      <w:r w:rsidRPr="00FA616B">
        <w:rPr>
          <w:b/>
          <w:lang w:val="en-IE"/>
        </w:rPr>
        <w:t>(</w:t>
      </w:r>
      <w:r>
        <w:rPr>
          <w:b/>
          <w:lang w:val="en-IE"/>
        </w:rPr>
        <w:t>ii</w:t>
      </w:r>
      <w:r w:rsidRPr="00FA616B">
        <w:rPr>
          <w:b/>
          <w:lang w:val="en-IE"/>
        </w:rPr>
        <w:t xml:space="preserve">) </w:t>
      </w:r>
      <w:r w:rsidRPr="00FA616B">
        <w:rPr>
          <w:lang w:val="en-IE"/>
        </w:rPr>
        <w:t xml:space="preserve">in Bleomycin, Bleomycin ECT, Bleomycin ECT in the presence of Nec-1; </w:t>
      </w:r>
      <w:r w:rsidRPr="00FA616B">
        <w:rPr>
          <w:b/>
          <w:lang w:val="en-IE"/>
        </w:rPr>
        <w:t>(</w:t>
      </w:r>
      <w:r>
        <w:rPr>
          <w:b/>
          <w:lang w:val="en-IE"/>
        </w:rPr>
        <w:t>iii</w:t>
      </w:r>
      <w:r w:rsidRPr="00FA616B">
        <w:rPr>
          <w:b/>
          <w:lang w:val="en-IE"/>
        </w:rPr>
        <w:t>)</w:t>
      </w:r>
      <w:r w:rsidRPr="00FA616B">
        <w:rPr>
          <w:lang w:val="en-IE"/>
        </w:rPr>
        <w:t xml:space="preserve"> Cisplatin and Cisplatin ECT, Cisplatin ECT in the presence of Nec-1 and </w:t>
      </w:r>
      <w:proofErr w:type="gramStart"/>
      <w:r w:rsidRPr="00FA616B">
        <w:rPr>
          <w:b/>
          <w:lang w:val="en-IE"/>
        </w:rPr>
        <w:t>(</w:t>
      </w:r>
      <w:r>
        <w:rPr>
          <w:b/>
          <w:lang w:val="en-IE"/>
        </w:rPr>
        <w:t>iv</w:t>
      </w:r>
      <w:r w:rsidRPr="00FA616B">
        <w:rPr>
          <w:b/>
          <w:lang w:val="en-IE"/>
        </w:rPr>
        <w:t>)</w:t>
      </w:r>
      <w:r w:rsidRPr="00FA616B">
        <w:rPr>
          <w:lang w:val="en-IE"/>
        </w:rPr>
        <w:t xml:space="preserve"> Oxaliplatin</w:t>
      </w:r>
      <w:proofErr w:type="gramEnd"/>
      <w:r w:rsidRPr="00FA616B">
        <w:rPr>
          <w:lang w:val="en-IE"/>
        </w:rPr>
        <w:t xml:space="preserve"> and Oxaliplatin ECT, Oxaliplatin ECT in the presence of Nec-1.</w:t>
      </w:r>
      <w:r>
        <w:rPr>
          <w:lang w:val="en-IE"/>
        </w:rPr>
        <w:t xml:space="preserve">  PANC-1 cells were treated with </w:t>
      </w:r>
      <w:r w:rsidRPr="00FA616B">
        <w:rPr>
          <w:lang w:val="en-IE"/>
        </w:rPr>
        <w:t>0.1μg/ml</w:t>
      </w:r>
      <w:r>
        <w:rPr>
          <w:lang w:val="en-IE"/>
        </w:rPr>
        <w:t xml:space="preserve"> Bleomycin, Cisplatin or </w:t>
      </w:r>
      <w:r w:rsidRPr="00FA616B">
        <w:rPr>
          <w:lang w:val="en-IE"/>
        </w:rPr>
        <w:t>3μg/ml</w:t>
      </w:r>
      <w:r>
        <w:rPr>
          <w:lang w:val="en-IE"/>
        </w:rPr>
        <w:t xml:space="preserve"> Oxaliplatin whereas Pan02 cells were treated with </w:t>
      </w:r>
      <w:r w:rsidRPr="00FA616B">
        <w:rPr>
          <w:lang w:val="en-IE"/>
        </w:rPr>
        <w:t>0.1μg/ml</w:t>
      </w:r>
      <w:r>
        <w:rPr>
          <w:lang w:val="en-IE"/>
        </w:rPr>
        <w:t xml:space="preserve"> Bleomycin, </w:t>
      </w:r>
      <w:r w:rsidRPr="00FA616B">
        <w:rPr>
          <w:lang w:val="en-IE"/>
        </w:rPr>
        <w:t>0.5μg/ml</w:t>
      </w:r>
      <w:r>
        <w:rPr>
          <w:lang w:val="en-IE"/>
        </w:rPr>
        <w:t xml:space="preserve"> Cisplatin or </w:t>
      </w:r>
      <w:r w:rsidRPr="00FA616B">
        <w:rPr>
          <w:lang w:val="en-IE"/>
        </w:rPr>
        <w:t xml:space="preserve">1μg/ml Oxaliplatin.  </w:t>
      </w:r>
      <w:r>
        <w:rPr>
          <w:lang w:val="en-IE"/>
        </w:rPr>
        <w:t xml:space="preserve">Nec-1 was used at a concentration of </w:t>
      </w:r>
      <w:r w:rsidRPr="00FA616B">
        <w:rPr>
          <w:lang w:val="en-IE"/>
        </w:rPr>
        <w:t>10μM</w:t>
      </w:r>
      <w:r>
        <w:rPr>
          <w:lang w:val="en-IE"/>
        </w:rPr>
        <w:t xml:space="preserve">.  </w:t>
      </w:r>
      <w:r w:rsidRPr="00FA616B">
        <w:rPr>
          <w:lang w:val="en-IE"/>
        </w:rPr>
        <w:t xml:space="preserve">Cells were harvested, cytospun and stained for morphological evaluation under light microscopy. Symbols denote particular cellular characteristics: </w:t>
      </w:r>
      <w:r w:rsidRPr="00FA616B">
        <w:rPr>
          <w:rFonts w:eastAsia="Times New Roman"/>
          <w:noProof/>
        </w:rPr>
        <mc:AlternateContent>
          <mc:Choice Requires="wps">
            <w:drawing>
              <wp:inline distT="0" distB="0" distL="0" distR="0" wp14:anchorId="457237F2" wp14:editId="49D921BF">
                <wp:extent cx="85725" cy="104775"/>
                <wp:effectExtent l="19050" t="19050" r="47625" b="28575"/>
                <wp:docPr id="6" name="Isosceles Triangle 6"/>
                <wp:cNvGraphicFramePr/>
                <a:graphic xmlns:a="http://schemas.openxmlformats.org/drawingml/2006/main">
                  <a:graphicData uri="http://schemas.microsoft.com/office/word/2010/wordprocessingShape">
                    <wps:wsp>
                      <wps:cNvSpPr/>
                      <wps:spPr>
                        <a:xfrm>
                          <a:off x="0" y="0"/>
                          <a:ext cx="85725" cy="104775"/>
                        </a:xfrm>
                        <a:prstGeom prst="triangle">
                          <a:avLst/>
                        </a:prstGeom>
                        <a:solidFill>
                          <a:srgbClr val="FF0000"/>
                        </a:solid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31BD6A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26" type="#_x0000_t5" style="width:6.75pt;height: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" fillcolor="red" strokecolor="red" strokeweight="1pt">
                <w10:anchorlock/>
              </v:shape>
            </w:pict>
          </mc:Fallback>
        </mc:AlternateContent>
      </w:r>
      <w:r w:rsidRPr="00FA616B">
        <w:rPr>
          <w:lang w:val="en-IE"/>
        </w:rPr>
        <w:t xml:space="preserve"> = condensed nuclear material, </w:t>
      </w:r>
      <w:r w:rsidRPr="00FA616B">
        <w:rPr>
          <w:rFonts w:eastAsia="Times New Roman"/>
          <w:noProof/>
        </w:rPr>
        <mc:AlternateContent>
          <mc:Choice Requires="wps">
            <w:drawing>
              <wp:inline distT="0" distB="0" distL="0" distR="0" wp14:anchorId="29F071BB" wp14:editId="0847E881">
                <wp:extent cx="85725" cy="104775"/>
                <wp:effectExtent l="19050" t="19050" r="47625" b="28575"/>
                <wp:docPr id="7" name="Isosceles Triangle 7"/>
                <wp:cNvGraphicFramePr/>
                <a:graphic xmlns:a="http://schemas.openxmlformats.org/drawingml/2006/main">
                  <a:graphicData uri="http://schemas.microsoft.com/office/word/2010/wordprocessingShape">
                    <wps:wsp>
                      <wps:cNvSpPr/>
                      <wps:spPr>
                        <a:xfrm>
                          <a:off x="0" y="0"/>
                          <a:ext cx="85725" cy="104775"/>
                        </a:xfrm>
                        <a:prstGeom prst="triangl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952703B" id="Isosceles Triangle 7" o:spid="_x0000_s1026" type="#_x0000_t5" style="width:6.75pt;height:8.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" fillcolor="windowText" strokecolor="windowText" strokeweight="1pt">
                <w10:anchorlock/>
              </v:shape>
            </w:pict>
          </mc:Fallback>
        </mc:AlternateContent>
      </w:r>
      <w:r w:rsidRPr="00FA616B">
        <w:rPr>
          <w:rFonts w:eastAsia="Times New Roman"/>
        </w:rPr>
        <w:t xml:space="preserve">= </w:t>
      </w:r>
      <w:proofErr w:type="spellStart"/>
      <w:r w:rsidRPr="00FA616B">
        <w:rPr>
          <w:rFonts w:eastAsia="Times New Roman"/>
        </w:rPr>
        <w:t>decondensed</w:t>
      </w:r>
      <w:proofErr w:type="spellEnd"/>
      <w:r w:rsidRPr="00FA616B">
        <w:rPr>
          <w:rFonts w:eastAsia="Times New Roman"/>
        </w:rPr>
        <w:t xml:space="preserve"> chromatin, </w:t>
      </w:r>
      <w:r>
        <w:rPr>
          <w:rFonts w:eastAsia="Times New Roman"/>
          <w:noProof/>
        </w:rPr>
        <mc:AlternateContent>
          <mc:Choice Requires="wps">
            <w:drawing>
              <wp:inline distT="0" distB="0" distL="0" distR="0" wp14:anchorId="49AF60F9" wp14:editId="68280E91">
                <wp:extent cx="86400" cy="104400"/>
                <wp:effectExtent l="19050" t="19050" r="46990" b="10160"/>
                <wp:docPr id="10" name="Isosceles Triangle 10"/>
                <wp:cNvGraphicFramePr/>
                <a:graphic xmlns:a="http://schemas.openxmlformats.org/drawingml/2006/main">
                  <a:graphicData uri="http://schemas.microsoft.com/office/word/2010/wordprocessingShape">
                    <wps:wsp>
                      <wps:cNvSpPr/>
                      <wps:spPr>
                        <a:xfrm>
                          <a:off x="0" y="0"/>
                          <a:ext cx="86400" cy="104400"/>
                        </a:xfrm>
                        <a:prstGeom prst="triangle">
                          <a:avLst/>
                        </a:prstGeom>
                        <a:solidFill>
                          <a:srgbClr val="00B050"/>
                        </a:solidFill>
                        <a:ln w="12700" cap="flat" cmpd="sng" algn="ctr">
                          <a:solidFill>
                            <a:srgbClr val="00B050"/>
                          </a:solidFill>
                          <a:prstDash val="solid"/>
                          <a:miter lim="800000"/>
                        </a:ln>
                        <a:effectLst/>
                      </wps:spPr>
                      <wps:txbx>
                        <w:txbxContent>
                          <w:p w:rsidR="003363E6" w:rsidRPr="00443B04" w:rsidRDefault="003363E6" w:rsidP="003363E6">
                            <w:pPr>
                              <w:jc w:val="center"/>
                              <w:rPr>
                                <w:lang w:val="en-IE"/>
                              </w:rPr>
                            </w:pPr>
                            <w:r>
                              <w:rPr>
                                <w:lang w:val="en-I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9AF60F9" id="Isosceles Triangle 10" o:spid="_x0000_s1026" type="#_x0000_t5" style="width:6.8pt;height: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" fillcolor="#00b050" strokecolor="#00b050" strokeweight="1pt">
                <v:textbox>
                  <w:txbxContent>
                    <w:p w:rsidR="003363E6" w:rsidRPr="00443B04" w:rsidRDefault="003363E6" w:rsidP="003363E6">
                      <w:pPr>
                        <w:jc w:val="center"/>
                        <w:rPr>
                          <w:lang w:val="en-IE"/>
                        </w:rPr>
                      </w:pPr>
                      <w:r>
                        <w:rPr>
                          <w:lang w:val="en-IE"/>
                        </w:rPr>
                        <w:t xml:space="preserve">  </w:t>
                      </w:r>
                    </w:p>
                  </w:txbxContent>
                </v:textbox>
                <w10:anchorlock/>
              </v:shape>
            </w:pict>
          </mc:Fallback>
        </mc:AlternateContent>
      </w:r>
      <w:r>
        <w:rPr>
          <w:rFonts w:eastAsia="Times New Roman"/>
        </w:rPr>
        <w:t xml:space="preserve">= large vacuoles, </w:t>
      </w:r>
      <w:r w:rsidRPr="00FA616B">
        <w:rPr>
          <w:rFonts w:eastAsia="Times New Roman"/>
          <w:color w:val="FF0000"/>
        </w:rPr>
        <w:sym w:font="Wingdings" w:char="F0E0"/>
      </w:r>
      <w:r w:rsidRPr="00FA616B">
        <w:rPr>
          <w:rFonts w:eastAsia="Times New Roman"/>
        </w:rPr>
        <w:t xml:space="preserve"> cytoplasmic vesicles</w:t>
      </w:r>
      <w:r>
        <w:rPr>
          <w:rFonts w:eastAsia="Times New Roman"/>
        </w:rPr>
        <w:t xml:space="preserve">, </w:t>
      </w:r>
      <w:r w:rsidRPr="00FA616B">
        <w:rPr>
          <w:rFonts w:eastAsia="Times New Roman"/>
        </w:rPr>
        <w:sym w:font="Wingdings" w:char="F0E0"/>
      </w:r>
      <w:r w:rsidRPr="00FA616B">
        <w:rPr>
          <w:rFonts w:eastAsia="Times New Roman"/>
        </w:rPr>
        <w:t xml:space="preserve"> perinuclear vacuoles, * = translucent cytoplasm.  </w:t>
      </w:r>
      <w:r w:rsidRPr="00FA616B">
        <w:rPr>
          <w:lang w:val="en-IE"/>
        </w:rPr>
        <w:t xml:space="preserve">Scale bar = 20μm.  </w:t>
      </w:r>
    </w:p>
    <w:p w:rsidR="003363E6" w:rsidRDefault="003363E6" w:rsidP="003363E6">
      <w:pPr>
        <w:rPr>
          <w:lang w:val="en-IE"/>
        </w:rPr>
      </w:pPr>
    </w:p>
    <w:p w:rsidR="003363E6" w:rsidRPr="00FA616B" w:rsidRDefault="003363E6" w:rsidP="003363E6">
      <w:pPr>
        <w:rPr>
          <w:lang w:val="en-IE"/>
        </w:rPr>
      </w:pPr>
      <w:r w:rsidRPr="00914D69">
        <w:rPr>
          <w:lang w:val="en-IE"/>
        </w:rPr>
        <w:t xml:space="preserve">Supplementary Figure 5 </w:t>
      </w:r>
    </w:p>
    <w:p w:rsidR="003363E6" w:rsidRPr="00FA616B" w:rsidRDefault="003363E6" w:rsidP="003363E6">
      <w:pPr>
        <w:rPr>
          <w:lang w:val="en-IE"/>
        </w:rPr>
      </w:pPr>
      <w:r>
        <w:rPr>
          <w:b/>
          <w:bCs/>
          <w:lang w:val="en-IE"/>
        </w:rPr>
        <w:t>NSA</w:t>
      </w:r>
      <w:r w:rsidRPr="00FA616B">
        <w:rPr>
          <w:b/>
          <w:bCs/>
          <w:lang w:val="en-IE"/>
        </w:rPr>
        <w:t xml:space="preserve"> is </w:t>
      </w:r>
      <w:r>
        <w:rPr>
          <w:b/>
          <w:bCs/>
          <w:lang w:val="en-IE"/>
        </w:rPr>
        <w:t>inhibits ECT-mediated death in PANC-1 cells and improves their recovery.</w:t>
      </w:r>
    </w:p>
    <w:p w:rsidR="003363E6" w:rsidRPr="00FA616B" w:rsidRDefault="003363E6" w:rsidP="003363E6">
      <w:pPr>
        <w:rPr>
          <w:lang w:val="en-IE"/>
        </w:rPr>
      </w:pPr>
      <w:r w:rsidRPr="00FA616B">
        <w:rPr>
          <w:lang w:val="en-IE"/>
        </w:rPr>
        <w:t>PANC-1</w:t>
      </w:r>
      <w:r w:rsidRPr="00FA616B">
        <w:rPr>
          <w:b/>
          <w:lang w:val="en-IE"/>
        </w:rPr>
        <w:t xml:space="preserve"> </w:t>
      </w:r>
      <w:r w:rsidRPr="00FA616B">
        <w:rPr>
          <w:lang w:val="en-IE"/>
        </w:rPr>
        <w:t xml:space="preserve">were </w:t>
      </w:r>
      <w:r>
        <w:rPr>
          <w:lang w:val="en-IE"/>
        </w:rPr>
        <w:t xml:space="preserve">either </w:t>
      </w:r>
      <w:r w:rsidRPr="00FA616B">
        <w:rPr>
          <w:lang w:val="en-IE"/>
        </w:rPr>
        <w:t>tr</w:t>
      </w:r>
      <w:r>
        <w:rPr>
          <w:lang w:val="en-IE"/>
        </w:rPr>
        <w:t>eated with chemotherapy alone,</w:t>
      </w:r>
      <w:r w:rsidRPr="00FA616B">
        <w:rPr>
          <w:lang w:val="en-IE"/>
        </w:rPr>
        <w:t xml:space="preserve"> in combination with electroporation </w:t>
      </w:r>
      <w:r>
        <w:rPr>
          <w:lang w:val="en-IE"/>
        </w:rPr>
        <w:t xml:space="preserve">      (</w:t>
      </w:r>
      <w:r w:rsidRPr="00FA616B">
        <w:rPr>
          <w:lang w:val="en-IE"/>
        </w:rPr>
        <w:t>+</w:t>
      </w:r>
      <w:r>
        <w:rPr>
          <w:lang w:val="en-IE"/>
        </w:rPr>
        <w:t xml:space="preserve"> </w:t>
      </w:r>
      <w:r w:rsidRPr="00FA616B">
        <w:rPr>
          <w:lang w:val="en-IE"/>
        </w:rPr>
        <w:t>EP)</w:t>
      </w:r>
      <w:r>
        <w:rPr>
          <w:lang w:val="en-IE"/>
        </w:rPr>
        <w:t xml:space="preserve"> or electroporated following pre-treatment with 1</w:t>
      </w:r>
      <w:r>
        <w:rPr>
          <w:rFonts w:ascii="Calibri" w:hAnsi="Calibri"/>
          <w:lang w:val="en-IE"/>
        </w:rPr>
        <w:t>μ</w:t>
      </w:r>
      <w:r>
        <w:rPr>
          <w:lang w:val="en-IE"/>
        </w:rPr>
        <w:t xml:space="preserve">M </w:t>
      </w:r>
      <w:proofErr w:type="spellStart"/>
      <w:r>
        <w:rPr>
          <w:lang w:val="en-IE"/>
        </w:rPr>
        <w:t>Necrosulphanamide</w:t>
      </w:r>
      <w:proofErr w:type="spellEnd"/>
      <w:r>
        <w:rPr>
          <w:lang w:val="en-IE"/>
        </w:rPr>
        <w:t xml:space="preserve"> (+NSA +EP). </w:t>
      </w:r>
      <w:r w:rsidRPr="00FA616B">
        <w:rPr>
          <w:lang w:val="en-IE"/>
        </w:rPr>
        <w:t>After 24 hours, viability was assessed by PI uptake using flow cytometry.  Data from three independent experiments are presented as bar graphs</w:t>
      </w:r>
      <w:r>
        <w:rPr>
          <w:lang w:val="en-IE"/>
        </w:rPr>
        <w:t xml:space="preserve"> </w:t>
      </w:r>
      <w:r w:rsidRPr="00EE7FEF">
        <w:rPr>
          <w:b/>
          <w:lang w:val="en-IE"/>
        </w:rPr>
        <w:t>(A)</w:t>
      </w:r>
      <w:r w:rsidRPr="00EE7FEF">
        <w:rPr>
          <w:lang w:val="en-IE"/>
        </w:rPr>
        <w:t>.</w:t>
      </w:r>
      <w:r w:rsidRPr="00FA616B">
        <w:rPr>
          <w:lang w:val="en-IE"/>
        </w:rPr>
        <w:t xml:space="preserve"> *statistically significant differences in viability, **</w:t>
      </w:r>
      <w:r w:rsidRPr="00FA616B">
        <w:rPr>
          <w:i/>
          <w:lang w:val="en-IE"/>
        </w:rPr>
        <w:t>p</w:t>
      </w:r>
      <w:r w:rsidRPr="00FA616B">
        <w:rPr>
          <w:lang w:val="en-IE"/>
        </w:rPr>
        <w:t xml:space="preserve"> </w:t>
      </w:r>
      <w:r>
        <w:rPr>
          <w:lang w:val="en-IE"/>
        </w:rPr>
        <w:t>≤0.01</w:t>
      </w:r>
      <w:proofErr w:type="gramStart"/>
      <w:r>
        <w:rPr>
          <w:lang w:val="en-IE"/>
        </w:rPr>
        <w:t xml:space="preserve">,  </w:t>
      </w:r>
      <w:proofErr w:type="spellStart"/>
      <w:r>
        <w:rPr>
          <w:lang w:val="en-IE"/>
        </w:rPr>
        <w:t>n.s</w:t>
      </w:r>
      <w:proofErr w:type="spellEnd"/>
      <w:proofErr w:type="gramEnd"/>
      <w:r w:rsidRPr="00FA616B">
        <w:rPr>
          <w:lang w:val="en-IE"/>
        </w:rPr>
        <w:t xml:space="preserve"> </w:t>
      </w:r>
      <w:proofErr w:type="spellStart"/>
      <w:r w:rsidRPr="00FA616B">
        <w:rPr>
          <w:lang w:val="en-IE"/>
        </w:rPr>
        <w:t>non significant</w:t>
      </w:r>
      <w:proofErr w:type="spellEnd"/>
      <w:r w:rsidRPr="00FA616B">
        <w:rPr>
          <w:lang w:val="en-IE"/>
        </w:rPr>
        <w:t>.</w:t>
      </w:r>
    </w:p>
    <w:p w:rsidR="003363E6" w:rsidRPr="00FA616B" w:rsidRDefault="003363E6" w:rsidP="003363E6">
      <w:pPr>
        <w:rPr>
          <w:lang w:val="en-IE"/>
        </w:rPr>
      </w:pPr>
      <w:r>
        <w:rPr>
          <w:lang w:val="en-IE"/>
        </w:rPr>
        <w:t>Cells</w:t>
      </w:r>
      <w:r w:rsidRPr="00FA616B">
        <w:rPr>
          <w:lang w:val="en-IE"/>
        </w:rPr>
        <w:t xml:space="preserve"> were counted and 1 million cells were resuspended in EP buffer</w:t>
      </w:r>
      <w:r>
        <w:rPr>
          <w:lang w:val="en-IE"/>
        </w:rPr>
        <w:t xml:space="preserve"> and electroporated either</w:t>
      </w:r>
      <w:r w:rsidRPr="00FA616B">
        <w:rPr>
          <w:lang w:val="en-IE"/>
        </w:rPr>
        <w:t xml:space="preserve"> in the presence or absence of </w:t>
      </w:r>
      <w:r>
        <w:rPr>
          <w:lang w:val="en-IE"/>
        </w:rPr>
        <w:t>NSA</w:t>
      </w:r>
      <w:r w:rsidRPr="00FA616B">
        <w:rPr>
          <w:lang w:val="en-IE"/>
        </w:rPr>
        <w:t xml:space="preserve"> and chemotherapy.  </w:t>
      </w:r>
      <w:r>
        <w:rPr>
          <w:lang w:val="en-IE"/>
        </w:rPr>
        <w:t xml:space="preserve">Cells were either treated with </w:t>
      </w:r>
      <w:r w:rsidRPr="00FA616B">
        <w:rPr>
          <w:lang w:val="en-IE"/>
        </w:rPr>
        <w:t>0.1μg/ml</w:t>
      </w:r>
      <w:r>
        <w:rPr>
          <w:lang w:val="en-IE"/>
        </w:rPr>
        <w:t xml:space="preserve"> Bleomycin or Cisplatin and 3</w:t>
      </w:r>
      <w:r w:rsidRPr="00FA616B">
        <w:rPr>
          <w:lang w:val="en-IE"/>
        </w:rPr>
        <w:t>μg/ml</w:t>
      </w:r>
      <w:r>
        <w:rPr>
          <w:lang w:val="en-IE"/>
        </w:rPr>
        <w:t xml:space="preserve"> Oxaliplatin.  NSA was used at a concentration of 1</w:t>
      </w:r>
      <w:r>
        <w:rPr>
          <w:rFonts w:ascii="Calibri" w:hAnsi="Calibri"/>
          <w:lang w:val="en-IE"/>
        </w:rPr>
        <w:t>μ</w:t>
      </w:r>
      <w:r>
        <w:rPr>
          <w:lang w:val="en-IE"/>
        </w:rPr>
        <w:t xml:space="preserve">M. </w:t>
      </w:r>
      <w:r w:rsidRPr="00FA616B">
        <w:rPr>
          <w:lang w:val="en-IE"/>
        </w:rPr>
        <w:t>24 hours later, 1000 cells were seeded in triplicate in complete media.  The recovery of PANC-1 cells post treatment was quantified by fluorescent intensities of colonies formed 14 days later.  Each well is</w:t>
      </w:r>
      <w:r>
        <w:rPr>
          <w:lang w:val="en-IE"/>
        </w:rPr>
        <w:t xml:space="preserve"> a representative of at least 6 similar wells (2 independent experiments).  </w:t>
      </w:r>
    </w:p>
    <w:p w:rsidR="003363E6" w:rsidRPr="00FA616B" w:rsidRDefault="003363E6" w:rsidP="003363E6">
      <w:pPr>
        <w:rPr>
          <w:rFonts w:eastAsia="Times New Roman"/>
        </w:rPr>
      </w:pPr>
    </w:p>
    <w:p w:rsidR="003363E6" w:rsidRPr="00FA616B" w:rsidRDefault="003363E6" w:rsidP="003363E6">
      <w:pPr>
        <w:rPr>
          <w:rFonts w:eastAsia="Times New Roman"/>
        </w:rPr>
      </w:pPr>
    </w:p>
    <w:p w:rsidR="003363E6" w:rsidRPr="00FA616B" w:rsidRDefault="003363E6" w:rsidP="003363E6">
      <w:pPr>
        <w:rPr>
          <w:rFonts w:eastAsia="Times New Roman"/>
        </w:rPr>
      </w:pPr>
    </w:p>
    <w:p w:rsidR="003363E6" w:rsidRPr="00FA616B" w:rsidRDefault="003363E6" w:rsidP="003363E6">
      <w:pPr>
        <w:rPr>
          <w:rFonts w:eastAsia="Times New Roman"/>
        </w:rPr>
      </w:pPr>
      <w:r w:rsidRPr="00FA616B">
        <w:rPr>
          <w:rFonts w:eastAsia="Times New Roman"/>
          <w:noProof/>
        </w:rPr>
        <w:fldChar w:fldCharType="begin"/>
      </w:r>
      <w:r w:rsidRPr="00FA616B">
        <w:rPr>
          <w:rFonts w:eastAsia="Times New Roman"/>
        </w:rPr>
        <w:instrText xml:space="preserve"> ADDIN EN.REFLIST </w:instrText>
      </w:r>
      <w:r w:rsidRPr="00FA616B">
        <w:rPr>
          <w:rFonts w:eastAsia="Times New Roman"/>
          <w:noProof/>
        </w:rPr>
        <w:fldChar w:fldCharType="separate"/>
      </w:r>
      <w:r w:rsidRPr="00FA616B">
        <w:rPr>
          <w:rFonts w:eastAsia="Times New Roman"/>
        </w:rPr>
        <w:fldChar w:fldCharType="end"/>
      </w:r>
    </w:p>
    <w:p w:rsidR="00392478" w:rsidRDefault="003363E6"/>
    <w:sectPr w:rsidR="00392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3E6"/>
    <w:rsid w:val="00087124"/>
    <w:rsid w:val="003172F6"/>
    <w:rsid w:val="003363E6"/>
    <w:rsid w:val="00526385"/>
    <w:rsid w:val="00F21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B3721F-4AE6-455E-AE9D-014D8DE29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3E6"/>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Philana</dc:creator>
  <cp:keywords/>
  <dc:description/>
  <cp:lastModifiedBy>Philana</cp:lastModifiedBy>
  <cp:revision>1</cp:revision>
  <dcterms:created xsi:type="dcterms:W3CDTF">2019-06-25T10:14:00Z</dcterms:created>
  <dcterms:modified xsi:type="dcterms:W3CDTF">2019-06-25T10:21:00Z</dcterms:modified>
</cp:coreProperties>
</file>